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1169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MS0061-01-2025-005326-05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ООО «</w:t>
      </w:r>
      <w:r>
        <w:rPr>
          <w:rFonts w:ascii="Times New Roman" w:eastAsia="Times New Roman" w:hAnsi="Times New Roman" w:cs="Times New Roman"/>
          <w:sz w:val="27"/>
          <w:szCs w:val="27"/>
        </w:rPr>
        <w:t>АКРОН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Степанова Спартака Вениаминовича, </w:t>
      </w:r>
      <w:r>
        <w:rPr>
          <w:rStyle w:val="cat-UserDefinedgrp-24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7"/>
          <w:szCs w:val="27"/>
        </w:rPr>
        <w:t>Степанов С.В</w:t>
      </w:r>
      <w:r>
        <w:rPr>
          <w:rFonts w:ascii="Times New Roman" w:eastAsia="Times New Roman" w:hAnsi="Times New Roman" w:cs="Times New Roman"/>
          <w:sz w:val="27"/>
          <w:szCs w:val="27"/>
        </w:rPr>
        <w:t>., являясь генеральным директором ООО «Акрон», расположенного по адресу: г. Сургут пр. Мира д.55 кв. 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Степанов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Степанов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26263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АКРОН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АКРОН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Степанов С.В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Степанов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Степанова Спартака Вениаминовича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1169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1">
    <w:name w:val="cat-UserDefined grp-24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